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MIZ Collection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Wibke Weigand / DNB</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i w:val="1"/>
          <w:rtl w:val="0"/>
        </w:rPr>
        <w:t xml:space="preserve">A use should contain information on:</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-what is the type of sound objects you provide Europeana (vinyle, recording, music sheet….)</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-Do the objects have digital representations? And if yes, of what type (same recording in different formats, video, images…)?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MIZ Collection</w:t>
            </w:r>
          </w:p>
          <w:p w:rsidP="00000000" w:rsidRPr="00000000" w:rsidR="00000000" w:rsidDel="00000000" w:rsidRDefault="00000000">
            <w:pPr>
              <w:contextualSpacing w:val="0"/>
            </w:pPr>
            <w:r w:rsidRPr="00000000" w:rsidR="00000000" w:rsidDel="00000000">
              <w:rPr>
                <w:rtl w:val="0"/>
              </w:rPr>
              <w:t xml:space="preserve">The Association of Composers and Musicologists of the German Democratic Republic (GDR/DDR) donated the archive of its former Music Information Centre to the DNB German Music Archive in 1991. </w:t>
            </w:r>
          </w:p>
          <w:p w:rsidP="00000000" w:rsidRPr="00000000" w:rsidR="00000000" w:rsidDel="00000000" w:rsidRDefault="00000000">
            <w:pPr>
              <w:contextualSpacing w:val="0"/>
            </w:pPr>
            <w:r w:rsidRPr="00000000" w:rsidR="00000000" w:rsidDel="00000000">
              <w:rPr>
                <w:rtl w:val="0"/>
              </w:rPr>
              <w:t xml:space="preserve">36,000 compositions of composers in the GDR are documented in a work index. In combination with programs, press releases and reviews it represents a comprehensive overview of forty years of classical music in the GDR. </w:t>
            </w:r>
          </w:p>
          <w:p w:rsidP="00000000" w:rsidRPr="00000000" w:rsidR="00000000" w:rsidDel="00000000" w:rsidRDefault="00000000">
            <w:pPr>
              <w:contextualSpacing w:val="0"/>
            </w:pPr>
            <w:r w:rsidRPr="00000000" w:rsidR="00000000" w:rsidDel="00000000">
              <w:rPr>
                <w:rtl w:val="0"/>
              </w:rPr>
              <w:t xml:space="preserve">A photographic archive includes pictures of composers and interpreters. 10,000 sound carriers and 1,000 items of sheet music offer a direct approach to the works by GDR composers. Among the sound carriers there are live-recordings from premieres and first performances as well as broadcasting productions and recordings.</w:t>
            </w:r>
          </w:p>
          <w:p w:rsidP="00000000" w:rsidRPr="00000000" w:rsidR="00000000" w:rsidDel="00000000" w:rsidRDefault="00000000">
            <w:pPr>
              <w:contextualSpacing w:val="0"/>
            </w:pPr>
            <w:r w:rsidRPr="00000000" w:rsidR="00000000" w:rsidDel="00000000">
              <w:rPr>
                <w:rtl w:val="0"/>
              </w:rPr>
              <w:t xml:space="preserve">All items were digitized in 2010 and their metadata are currently being migrated to the central bibliographic system of DNB. The sound recordings and documents will not be out of copyright for the middle future. (see </w:t>
            </w:r>
            <w:hyperlink r:id="rId5">
              <w:r w:rsidRPr="00000000" w:rsidR="00000000" w:rsidDel="00000000">
                <w:rPr>
                  <w:color w:val="0000ff"/>
                  <w:u w:val="single"/>
                  <w:rtl w:val="0"/>
                </w:rPr>
                <w:t xml:space="preserve">http://www.dnb.de/EN/sammlungmiz</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part of the collection, such as press archive, correspondence and work files of MIZ, photographs, programme notes, sound files and card catalogue have data records of their volumes (convolut).</w:t>
            </w:r>
          </w:p>
          <w:p w:rsidP="00000000" w:rsidRPr="00000000" w:rsidR="00000000" w:rsidDel="00000000" w:rsidRDefault="00000000">
            <w:pPr>
              <w:contextualSpacing w:val="0"/>
            </w:pPr>
            <w:r w:rsidRPr="00000000" w:rsidR="00000000" w:rsidDel="00000000">
              <w:rPr>
                <w:rtl w:val="0"/>
              </w:rPr>
              <w:t xml:space="preserve">Each bibliographic record consists of information about volume title, aggregator, period of time, various codes for types of content, physical description, language, CONTENTUS project number. a classification of the holdings that is defined by the MIZ content and is not related to any general classification or thesaurus. Hardly any authority data are used to describe the MIZ collection.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6">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data sample give information about internal data structure. It meets special needs of DNB, that are not necessarily to be exchanged to MARC. This data sample gives a very detailed structure, that is not in need for all of the metadata within the MIZ Collection.</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Bibliographic record for a volume / convolute as presented in approval system of DNB</w:t>
            </w:r>
          </w:p>
          <w:tbl>
            <w:tblPr>
              <w:tblStyle w:val="Table4"/>
              <w:bidiVisual w:val="0"/>
              <w:tblW w:w="18934.0" w:type="dxa"/>
              <w:jc w:val="left"/>
              <w:tblLayout w:type="fixed"/>
              <w:tblLook w:val="0400"/>
            </w:tblPr>
            <w:tblGrid>
              <w:gridCol w:w="1320"/>
              <w:gridCol w:w="1320"/>
              <w:gridCol w:w="5912"/>
              <w:gridCol w:w="4720"/>
              <w:gridCol w:w="4142"/>
              <w:gridCol w:w="1520"/>
              <w:tblGridChange w:id="0">
                <w:tblGrid>
                  <w:gridCol w:w="1320"/>
                  <w:gridCol w:w="1320"/>
                  <w:gridCol w:w="5912"/>
                  <w:gridCol w:w="4720"/>
                  <w:gridCol w:w="4142"/>
                  <w:gridCol w:w="1520"/>
                </w:tblGrid>
              </w:tblGridChange>
            </w:tblGrid>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sz w:val="18"/>
                      <w:rtl w:val="0"/>
                    </w:rPr>
                    <w:t xml:space="preserve">Pica3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sz w:val="18"/>
                      <w:rtl w:val="0"/>
                    </w:rPr>
                    <w:t xml:space="preserve">Pica+</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sz w:val="18"/>
                      <w:rtl w:val="0"/>
                    </w:rPr>
                    <w:t xml:space="preserve">Beschreibung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sz w:val="18"/>
                      <w:rtl w:val="0"/>
                    </w:rPr>
                    <w:t xml:space="preserve">Bsp. Inhalt</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sz w:val="18"/>
                      <w:rtl w:val="0"/>
                    </w:rPr>
                    <w:t xml:space="preserve">Bemerkung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sz w:val="18"/>
                      <w:rtl w:val="0"/>
                    </w:rPr>
                    <w:t xml:space="preserve">Suchschlüssel</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0100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ff"/>
                      <w:sz w:val="18"/>
                      <w:u w:val="single"/>
                      <w:rtl w:val="0"/>
                    </w:rPr>
                    <w:t xml:space="preserve">003@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IDN des Datensatzes</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idn</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0200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001A </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Erfassungskennung/Ersterfassung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sen/ser</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0500 </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ff"/>
                      <w:sz w:val="18"/>
                      <w:u w:val="single"/>
                      <w:rtl w:val="0"/>
                    </w:rPr>
                    <w:t xml:space="preserve">002@</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Bibliografische Gattung/Status</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Va</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bbg</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1100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ff"/>
                      <w:sz w:val="18"/>
                      <w:u w:val="single"/>
                      <w:rtl w:val="0"/>
                    </w:rPr>
                    <w:t xml:space="preserve">011@</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Erscheinungsjahr</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1962 $ (1962-1990)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Zeitspanne </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ejb</w:t>
                  </w:r>
                </w:p>
              </w:tc>
            </w:tr>
            <w:tr>
              <w:trPr>
                <w:trHeight w:val="24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1130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013C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Angaben zum Medium und zum Trägermaterial in codierter Form </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TB-papier</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cot</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1131</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u w:val="single"/>
                      <w:rtl w:val="0"/>
                    </w:rPr>
                    <w:t xml:space="preserve">013D</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Inhaltstyp</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prs;uwre;text;prh</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Pressestimme;Rezension;Text;Programmheft</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coi</w:t>
                  </w:r>
                </w:p>
              </w:tc>
            </w:tr>
            <w:tr>
              <w:trPr>
                <w:trHeight w:val="46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1132</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013E</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Angaben zur Form in codierter Form</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a2-masch;a2-druck;f1-text;f2-blatt;e2-un;o-org;v-cont</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cof</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1500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ff"/>
                      <w:sz w:val="18"/>
                      <w:u w:val="single"/>
                      <w:rtl w:val="0"/>
                    </w:rPr>
                    <w:t xml:space="preserve">010@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Code für Sprache</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/1ger</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cod/sct</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1700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ff"/>
                      <w:sz w:val="18"/>
                      <w:u w:val="single"/>
                      <w:rtl w:val="0"/>
                    </w:rPr>
                    <w:t xml:space="preserve">019@</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Ländercode</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/1DDDE</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cod/lce</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2199 </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u w:val="single"/>
                      <w:rtl w:val="0"/>
                    </w:rPr>
                    <w:t xml:space="preserve">006Y</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Sonstige Standardnummer oder Feld </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[Contentus-Projekt-ID]CON_331316102600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Contentus-ID (Laufnummer)</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num/kat</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3100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029A</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Primärkörperschaft</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!050728547!</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Musikinformationszentrum &lt;Berlin, Ost&gt;</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kor</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4000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021A</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HST / Titel</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Konzertreihen A - 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tit/tst</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4030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033A</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Verlagsort : Verlag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Berlin : MIZ</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ver/vlg</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4060 </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034D</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spezifische Materialbenennung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Presseartikel</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ufa</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4105</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036H</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Zugehörigkeit zu einer Sammlung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!1036853877!</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00"/>
                      <w:sz w:val="18"/>
                      <w:rtl w:val="0"/>
                    </w:rPr>
                    <w:t xml:space="preserve">kmm</w:t>
                  </w:r>
                </w:p>
              </w:tc>
            </w:tr>
            <w:tr>
              <w:trPr>
                <w:trHeight w:val="44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4201</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037A</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unaufgegliederte Fussnoten</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Enthält Presseartikel, Aufsätze und dergleichen aus dem Pressearchiv der Sammlung MIZ</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kurze Beschreibung des Inhalts</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fnt</w:t>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4243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039D</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Parallelausgabe</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Online-Ausg.:!Idn!--OF--</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color w:val="000000"/>
                      <w:sz w:val="18"/>
                      <w:rtl w:val="0"/>
                    </w:rPr>
                    <w:t xml:space="preserve">Exemplarebene</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7001</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ff"/>
                      <w:sz w:val="18"/>
                      <w:u w:val="single"/>
                      <w:rtl w:val="0"/>
                    </w:rPr>
                    <w:t xml:space="preserve">208@</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 Ex. Datum und Selektionsschlüssel</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TT-MM-JJ : </w:t>
                  </w:r>
                  <w:r w:rsidRPr="00000000" w:rsidR="00000000" w:rsidDel="00000000">
                    <w:rPr>
                      <w:rFonts w:cs="Verdana" w:hAnsi="Verdana" w:eastAsia="Verdana" w:ascii="Verdana"/>
                      <w:color w:val="000000"/>
                      <w:sz w:val="18"/>
                      <w:rtl w:val="0"/>
                    </w:rPr>
                    <w:t xml:space="preserve">x</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Benutzung nur im Musiklesesaal</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slk/slk</w:t>
                  </w:r>
                </w:p>
              </w:tc>
            </w:tr>
            <w:tr>
              <w:trPr>
                <w:trHeight w:val="46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6710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245Y/XX</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Aufstellung innerhalb/Zugehörigkeit zu einer Sammlung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!IDN!Verknüpfung zur untersten Hierarchiestufe</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jc w:val="center"/>
                  </w:pPr>
                  <w:r w:rsidRPr="00000000" w:rsidR="00000000" w:rsidDel="00000000">
                    <w:rPr>
                      <w:rFonts w:cs="Verdana" w:hAnsi="Verdana" w:eastAsia="Verdana" w:ascii="Verdana"/>
                      <w:b w:val="1"/>
                      <w:sz w:val="18"/>
                      <w:rtl w:val="0"/>
                    </w:rPr>
                    <w:t xml:space="preserve">Tq-Satz in Feld 6710</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22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005</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color w:val="0000ff"/>
                      <w:sz w:val="18"/>
                      <w:u w:val="single"/>
                      <w:rtl w:val="0"/>
                    </w:rPr>
                    <w:t xml:space="preserve">002@</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Satzart</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Tq</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bbg</w:t>
                  </w:r>
                </w:p>
              </w:tc>
            </w:tr>
            <w:tr>
              <w:trPr>
                <w:trHeight w:val="24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011</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008A</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Kennzeichen der Bestandsgliederung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xm</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Code für Sammlung miz</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tbs</w:t>
                  </w:r>
                </w:p>
              </w:tc>
            </w:tr>
            <w:tr>
              <w:trPr>
                <w:trHeight w:val="24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153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045A</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Notation der Bestandsgliederung</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153 A 2 1 9.4.1$hMIZ$jKonzertreihen  A-C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syp/syf</w:t>
                  </w:r>
                </w:p>
              </w:tc>
            </w:tr>
            <w:tr>
              <w:trPr>
                <w:trHeight w:val="90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553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045C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Relationierte Notation</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$b1!IDN!-$hMIZ$jSammlung des Musikinformationszentrums der Komponisten und Musikwissenschaftler der DDR$4nueb</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30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553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045C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Relationierte Notation</w:t>
                  </w:r>
                </w:p>
              </w:tc>
              <w:tc>
                <w:tcPr>
                  <w:tcBorders>
                    <w:top w:color="000000" w:space="0" w:val="nil" w:sz="0"/>
                    <w:left w:color="000000" w:space="0" w:val="nil" w:sz="0"/>
                    <w:bottom w:color="000000" w:space="0" w:val="nil" w:sz="0"/>
                    <w:right w:color="000000" w:space="0" w:val="nil" w:sz="0"/>
                  </w:tcBorders>
                  <w:shd w:fill="ffffff"/>
                  <w:vAlign w:val="center"/>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$b2!IDN!A$hMIZ$jPressearchiv$4nueb</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30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553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045C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Relationierte Notation</w:t>
                  </w:r>
                </w:p>
              </w:tc>
              <w:tc>
                <w:tcPr>
                  <w:tcBorders>
                    <w:top w:color="000000" w:space="0" w:val="nil" w:sz="0"/>
                    <w:left w:color="000000" w:space="0" w:val="nil" w:sz="0"/>
                    <w:bottom w:color="000000" w:space="0" w:val="nil" w:sz="0"/>
                    <w:right w:color="000000" w:space="0" w:val="nil" w:sz="0"/>
                  </w:tcBorders>
                  <w:shd w:fill="ffffff"/>
                  <w:vAlign w:val="center"/>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$b3!IDN!A.2.$hMIZ$jMusik$4nueb</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60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553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045C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Relationierte Notation</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$b4!IDN!A.21$hMusikwissenschaft, Musikkritik, Musikerziehung$nueb</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30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553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045C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Relationierte Notation</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$b5!IDN!A.21.219$hMusikleben$4nueb</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30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553</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color w:val="333333"/>
                      <w:sz w:val="20"/>
                      <w:rtl w:val="0"/>
                    </w:rPr>
                    <w:t xml:space="preserve">045C</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Relationierte Notation</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$b6!IDN!A.21.219,4$hKonzertreihen$4nueb</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r>
              <w:trPr>
                <w:trHeight w:val="44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679</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050H</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Definition (wie in GND)</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Enthält Presseartikel, Aufsätze und dergleichen aus dem Pressearchiv der Sammlung MIZ</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kurze Beschreibung des Inhalts</w:t>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Fonts w:cs="Verdana" w:hAnsi="Verdana" w:eastAsia="Verdana" w:ascii="Verdana"/>
                      <w:sz w:val="18"/>
                      <w:rtl w:val="0"/>
                    </w:rPr>
                    <w:t xml:space="preserve">def</w:t>
                  </w:r>
                </w:p>
              </w:tc>
            </w:tr>
            <w:tr>
              <w:trPr>
                <w:trHeight w:val="300" w:hRule="atLeast"/>
              </w:trPr>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ffffff"/>
                  <w:vAlign w:val="bottom"/>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tl w:val="0"/>
              </w:rPr>
              <w:t xml:space="preserve">Pica3, Pica+, </w:t>
            </w:r>
          </w:p>
          <w:p w:rsidP="00000000" w:rsidRPr="00000000" w:rsidR="00000000" w:rsidDel="00000000" w:rsidRDefault="00000000">
            <w:pPr>
              <w:spacing w:lineRule="auto" w:line="240"/>
              <w:contextualSpacing w:val="0"/>
            </w:pPr>
            <w:r w:rsidRPr="00000000" w:rsidR="00000000" w:rsidDel="00000000">
              <w:rPr>
                <w:rtl w:val="0"/>
              </w:rPr>
              <w:t xml:space="preserve">Exchange of metadata (MARC, RDF) is not yet decided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Type of entry</w:t>
            </w:r>
          </w:p>
          <w:p w:rsidP="00000000" w:rsidRPr="00000000" w:rsidR="00000000" w:rsidDel="00000000" w:rsidRDefault="00000000">
            <w:pPr>
              <w:spacing w:lineRule="auto" w:line="240"/>
              <w:contextualSpacing w:val="0"/>
            </w:pPr>
            <w:r w:rsidRPr="00000000" w:rsidR="00000000" w:rsidDel="00000000">
              <w:rPr>
                <w:rtl w:val="0"/>
              </w:rPr>
              <w:t xml:space="preserve">Year of publication, period of publication</w:t>
            </w:r>
          </w:p>
          <w:p w:rsidP="00000000" w:rsidRPr="00000000" w:rsidR="00000000" w:rsidDel="00000000" w:rsidRDefault="00000000">
            <w:pPr>
              <w:spacing w:lineRule="auto" w:line="240"/>
              <w:contextualSpacing w:val="0"/>
            </w:pPr>
            <w:r w:rsidRPr="00000000" w:rsidR="00000000" w:rsidDel="00000000">
              <w:rPr>
                <w:rtl w:val="0"/>
              </w:rPr>
              <w:t xml:space="preserve">Type of media, physical appearance</w:t>
            </w:r>
          </w:p>
          <w:p w:rsidP="00000000" w:rsidRPr="00000000" w:rsidR="00000000" w:rsidDel="00000000" w:rsidRDefault="00000000">
            <w:pPr>
              <w:spacing w:lineRule="auto" w:line="240"/>
              <w:contextualSpacing w:val="0"/>
            </w:pPr>
            <w:r w:rsidRPr="00000000" w:rsidR="00000000" w:rsidDel="00000000">
              <w:rPr>
                <w:rtl w:val="0"/>
              </w:rPr>
              <w:t xml:space="preserve">Type of content</w:t>
            </w:r>
          </w:p>
          <w:p w:rsidP="00000000" w:rsidRPr="00000000" w:rsidR="00000000" w:rsidDel="00000000" w:rsidRDefault="00000000">
            <w:pPr>
              <w:spacing w:lineRule="auto" w:line="240"/>
              <w:contextualSpacing w:val="0"/>
            </w:pPr>
            <w:r w:rsidRPr="00000000" w:rsidR="00000000" w:rsidDel="00000000">
              <w:rPr>
                <w:rtl w:val="0"/>
              </w:rPr>
              <w:t xml:space="preserve">Code for language, country</w:t>
            </w:r>
          </w:p>
          <w:p w:rsidP="00000000" w:rsidRPr="00000000" w:rsidR="00000000" w:rsidDel="00000000" w:rsidRDefault="00000000">
            <w:pPr>
              <w:spacing w:lineRule="auto" w:line="240"/>
              <w:contextualSpacing w:val="0"/>
            </w:pPr>
            <w:r w:rsidRPr="00000000" w:rsidR="00000000" w:rsidDel="00000000">
              <w:rPr>
                <w:rtl w:val="0"/>
              </w:rPr>
              <w:t xml:space="preserve">Relation to collection</w:t>
            </w:r>
          </w:p>
          <w:p w:rsidP="00000000" w:rsidRPr="00000000" w:rsidR="00000000" w:rsidDel="00000000" w:rsidRDefault="00000000">
            <w:pPr>
              <w:spacing w:lineRule="auto" w:line="240"/>
              <w:contextualSpacing w:val="0"/>
            </w:pPr>
            <w:r w:rsidRPr="00000000" w:rsidR="00000000" w:rsidDel="00000000">
              <w:rPr>
                <w:rtl w:val="0"/>
              </w:rPr>
              <w:t xml:space="preserve">Volume number</w:t>
            </w:r>
          </w:p>
          <w:p w:rsidP="00000000" w:rsidRPr="00000000" w:rsidR="00000000" w:rsidDel="00000000" w:rsidRDefault="00000000">
            <w:pPr>
              <w:spacing w:lineRule="auto" w:line="240"/>
              <w:contextualSpacing w:val="0"/>
            </w:pPr>
            <w:r w:rsidRPr="00000000" w:rsidR="00000000" w:rsidDel="00000000">
              <w:rPr>
                <w:rtl w:val="0"/>
              </w:rPr>
              <w:t xml:space="preserve">Aggregator</w:t>
            </w:r>
          </w:p>
          <w:p w:rsidP="00000000" w:rsidRPr="00000000" w:rsidR="00000000" w:rsidDel="00000000" w:rsidRDefault="00000000">
            <w:pPr>
              <w:spacing w:lineRule="auto" w:line="240"/>
              <w:contextualSpacing w:val="0"/>
            </w:pPr>
            <w:r w:rsidRPr="00000000" w:rsidR="00000000" w:rsidDel="00000000">
              <w:rPr>
                <w:rtl w:val="0"/>
              </w:rPr>
              <w:t xml:space="preserve">Title</w:t>
            </w:r>
          </w:p>
          <w:p w:rsidP="00000000" w:rsidRPr="00000000" w:rsidR="00000000" w:rsidDel="00000000" w:rsidRDefault="00000000">
            <w:pPr>
              <w:spacing w:lineRule="auto" w:line="240"/>
              <w:contextualSpacing w:val="0"/>
            </w:pPr>
            <w:r w:rsidRPr="00000000" w:rsidR="00000000" w:rsidDel="00000000">
              <w:rPr>
                <w:rtl w:val="0"/>
              </w:rPr>
              <w:t xml:space="preserve">Publisher</w:t>
            </w:r>
          </w:p>
          <w:p w:rsidP="00000000" w:rsidRPr="00000000" w:rsidR="00000000" w:rsidDel="00000000" w:rsidRDefault="00000000">
            <w:pPr>
              <w:spacing w:lineRule="auto" w:line="240"/>
              <w:contextualSpacing w:val="0"/>
            </w:pPr>
            <w:r w:rsidRPr="00000000" w:rsidR="00000000" w:rsidDel="00000000">
              <w:rPr>
                <w:rtl w:val="0"/>
              </w:rPr>
              <w:t xml:space="preserve">Identification number for parallel issues</w:t>
            </w:r>
          </w:p>
          <w:p w:rsidP="00000000" w:rsidRPr="00000000" w:rsidR="00000000" w:rsidDel="00000000" w:rsidRDefault="00000000">
            <w:pPr>
              <w:spacing w:lineRule="auto" w:line="240"/>
              <w:contextualSpacing w:val="0"/>
            </w:pPr>
            <w:r w:rsidRPr="00000000" w:rsidR="00000000" w:rsidDel="00000000">
              <w:rPr>
                <w:rtl w:val="0"/>
              </w:rPr>
              <w:t xml:space="preserve">Classification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The classification of the holdings is defined by the MIZ content and is not related to any general classification or thesaurus.</w:t>
            </w:r>
          </w:p>
          <w:p w:rsidP="00000000" w:rsidRPr="00000000" w:rsidR="00000000" w:rsidDel="00000000" w:rsidRDefault="00000000">
            <w:pPr>
              <w:contextualSpacing w:val="0"/>
            </w:pPr>
            <w:r w:rsidRPr="00000000" w:rsidR="00000000" w:rsidDel="00000000">
              <w:rPr>
                <w:rtl w:val="0"/>
              </w:rPr>
              <w:t xml:space="preserve">(Tq-Sätze)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6710 (Pica3) 245Y/XX (Pica+)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German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7">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005 Tq</w:t>
            </w:r>
          </w:p>
          <w:p w:rsidP="00000000" w:rsidRPr="00000000" w:rsidR="00000000" w:rsidDel="00000000" w:rsidRDefault="00000000">
            <w:pPr>
              <w:spacing w:lineRule="auto" w:line="240"/>
              <w:contextualSpacing w:val="0"/>
            </w:pPr>
            <w:r w:rsidRPr="00000000" w:rsidR="00000000" w:rsidDel="00000000">
              <w:rPr>
                <w:rtl w:val="0"/>
              </w:rPr>
              <w:t xml:space="preserve">011 xd</w:t>
            </w:r>
          </w:p>
          <w:p w:rsidP="00000000" w:rsidRPr="00000000" w:rsidR="00000000" w:rsidDel="00000000" w:rsidRDefault="00000000">
            <w:pPr>
              <w:spacing w:lineRule="auto" w:line="240"/>
              <w:contextualSpacing w:val="0"/>
            </w:pPr>
            <w:r w:rsidRPr="00000000" w:rsidR="00000000" w:rsidDel="00000000">
              <w:rPr>
                <w:rtl w:val="0"/>
              </w:rPr>
              <w:t xml:space="preserve">012 o</w:t>
            </w:r>
          </w:p>
          <w:p w:rsidP="00000000" w:rsidRPr="00000000" w:rsidR="00000000" w:rsidDel="00000000" w:rsidRDefault="00000000">
            <w:pPr>
              <w:spacing w:lineRule="auto" w:line="240"/>
              <w:contextualSpacing w:val="0"/>
            </w:pPr>
            <w:r w:rsidRPr="00000000" w:rsidR="00000000" w:rsidDel="00000000">
              <w:rPr>
                <w:rtl w:val="0"/>
              </w:rPr>
              <w:t xml:space="preserve">153 -$hMIZ$jMusikinformationszentrum der DDR$xmiz0</w:t>
            </w:r>
          </w:p>
          <w:p w:rsidP="00000000" w:rsidRPr="00000000" w:rsidR="00000000" w:rsidDel="00000000" w:rsidRDefault="00000000">
            <w:pPr>
              <w:spacing w:lineRule="auto" w:line="240"/>
              <w:contextualSpacing w:val="0"/>
            </w:pPr>
            <w:r w:rsidRPr="00000000" w:rsidR="00000000" w:rsidDel="00000000">
              <w:rPr>
                <w:rtl w:val="0"/>
              </w:rPr>
              <w:t xml:space="preserve">553 !1050748891!A$hMIZ$jPressearchiv$4nunt</w:t>
            </w:r>
          </w:p>
          <w:p w:rsidP="00000000" w:rsidRPr="00000000" w:rsidR="00000000" w:rsidDel="00000000" w:rsidRDefault="00000000">
            <w:pPr>
              <w:spacing w:lineRule="auto" w:line="240"/>
              <w:contextualSpacing w:val="0"/>
            </w:pPr>
            <w:r w:rsidRPr="00000000" w:rsidR="00000000" w:rsidDel="00000000">
              <w:rPr>
                <w:rtl w:val="0"/>
              </w:rPr>
              <w:t xml:space="preserve">553 !1050748905!B$hMIZ$jAkten$4nunt</w:t>
            </w:r>
          </w:p>
          <w:p w:rsidP="00000000" w:rsidRPr="00000000" w:rsidR="00000000" w:rsidDel="00000000" w:rsidRDefault="00000000">
            <w:pPr>
              <w:spacing w:lineRule="auto" w:line="240"/>
              <w:contextualSpacing w:val="0"/>
            </w:pPr>
            <w:r w:rsidRPr="00000000" w:rsidR="00000000" w:rsidDel="00000000">
              <w:rPr>
                <w:rtl w:val="0"/>
              </w:rPr>
              <w:t xml:space="preserve">553 !1050748913!C$hMIZ$jFotos$4nunt</w:t>
            </w:r>
          </w:p>
          <w:p w:rsidP="00000000" w:rsidRPr="00000000" w:rsidR="00000000" w:rsidDel="00000000" w:rsidRDefault="00000000">
            <w:pPr>
              <w:spacing w:lineRule="auto" w:line="240"/>
              <w:contextualSpacing w:val="0"/>
            </w:pPr>
            <w:r w:rsidRPr="00000000" w:rsidR="00000000" w:rsidDel="00000000">
              <w:rPr>
                <w:rtl w:val="0"/>
              </w:rPr>
              <w:t xml:space="preserve">553 !1050748921!D$hMIZ$jProgrammhefte$4nunt</w:t>
            </w:r>
          </w:p>
          <w:p w:rsidP="00000000" w:rsidRPr="00000000" w:rsidR="00000000" w:rsidDel="00000000" w:rsidRDefault="00000000">
            <w:pPr>
              <w:spacing w:lineRule="auto" w:line="240"/>
              <w:contextualSpacing w:val="0"/>
            </w:pPr>
            <w:r w:rsidRPr="00000000" w:rsidR="00000000" w:rsidDel="00000000">
              <w:rPr>
                <w:rtl w:val="0"/>
              </w:rPr>
              <w:t xml:space="preserve">553 !1050748859!E$hMIZ$jTonbänder$4nunt</w:t>
            </w:r>
          </w:p>
          <w:p w:rsidP="00000000" w:rsidRPr="00000000" w:rsidR="00000000" w:rsidDel="00000000" w:rsidRDefault="00000000">
            <w:pPr>
              <w:spacing w:lineRule="auto" w:line="240"/>
              <w:contextualSpacing w:val="0"/>
            </w:pPr>
            <w:r w:rsidRPr="00000000" w:rsidR="00000000" w:rsidDel="00000000">
              <w:rPr>
                <w:rtl w:val="0"/>
              </w:rPr>
              <w:t xml:space="preserve">553 !105074893X!F$hMIZ$jKarteikarten$4nunt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headerReference r:id="rId8" w:type="default"/>
      <w:footerReference r:id="rId9"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1"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2"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9"/><Relationship Target="https://drive.google.com/folderview?id=0B4N3jJ2PToabWU1scDVFZGVKVEU&amp;usp=sharing" Type="http://schemas.openxmlformats.org/officeDocument/2006/relationships/hyperlink" TargetMode="External" Id="rId6"/><Relationship Target="http://www.dnb.de/EN/DMA/Bestaende/MIZ/miz_node.html" Type="http://schemas.openxmlformats.org/officeDocument/2006/relationships/hyperlink" TargetMode="External" Id="rId5"/><Relationship Target="header1.xml" Type="http://schemas.openxmlformats.org/officeDocument/2006/relationships/header" Id="rId8"/><Relationship Target="https://drive.google.com/folderview?id=0B4N3jJ2PToabWU1scDVFZGVKVEU&amp;usp=sharing"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use_case_DNB_miz-collection.docx</dc:title>
</cp:coreProperties>
</file>